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BULLETIN INDIVIDUEL DE PAIE</w:t>
      </w:r>
    </w:p>
    <w:p>
      <w:pPr>
        <w:jc w:val="center"/>
      </w:pPr>
      <w:r>
        <w:rPr>
          <w:b/>
          <w:color w:val="5B6673"/>
          <w:sz w:val="18"/>
        </w:rPr>
        <w:t>Modèle CRM • Côte d’Ivoire • Tous les montants en FCFA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74"/>
        <w:gridCol w:w="3374"/>
        <w:gridCol w:w="3374"/>
      </w:tblGrid>
      <w:tr>
        <w:tc>
          <w:tcPr>
            <w:tcW w:type="dxa" w:w="3374"/>
            <w:shd w:fill="073D8C"/>
          </w:tcPr>
          <w:p>
            <w:pPr>
              <w:jc w:val="center"/>
            </w:pPr>
            <w:r>
              <w:rPr>
                <w:b/>
                <w:color w:val="FFFFFF"/>
              </w:rPr>
              <w:t>Période</w:t>
              <w:br/>
            </w:r>
            <w:r>
              <w:rPr>
                <w:color w:val="FFFFFF"/>
              </w:rPr>
              <w:t>{{pay_period}}</w:t>
            </w:r>
          </w:p>
        </w:tc>
        <w:tc>
          <w:tcPr>
            <w:tcW w:type="dxa" w:w="3374"/>
            <w:shd w:fill="073D8C"/>
          </w:tcPr>
          <w:p>
            <w:pPr>
              <w:jc w:val="center"/>
            </w:pPr>
            <w:r>
              <w:rPr>
                <w:b/>
                <w:color w:val="FFFFFF"/>
              </w:rPr>
              <w:t>Date de paiement</w:t>
              <w:br/>
            </w:r>
            <w:r>
              <w:rPr>
                <w:color w:val="FFFFFF"/>
              </w:rPr>
              <w:t>{{payment_date}}</w:t>
            </w:r>
          </w:p>
        </w:tc>
        <w:tc>
          <w:tcPr>
            <w:tcW w:type="dxa" w:w="3374"/>
            <w:shd w:fill="073D8C"/>
          </w:tcPr>
          <w:p>
            <w:pPr>
              <w:jc w:val="center"/>
            </w:pPr>
            <w:r>
              <w:rPr>
                <w:b/>
                <w:color w:val="FFFFFF"/>
              </w:rPr>
              <w:t>Référence</w:t>
              <w:br/>
            </w:r>
            <w:r>
              <w:rPr>
                <w:color w:val="FFFFFF"/>
              </w:rPr>
              <w:t>{{payslip_number}}</w:t>
            </w:r>
          </w:p>
        </w:tc>
      </w:tr>
    </w:tbl>
    <w:p>
      <w:pPr>
        <w:pStyle w:val="Heading1"/>
      </w:pPr>
      <w:r>
        <w:t>Employeur et salarié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5061"/>
            <w:shd w:fill="EAF4FB"/>
          </w:tcPr>
          <w:p>
            <w:r>
              <w:t>EMPLOYEUR</w:t>
              <w:br/>
              <w:t>NEXTGEN IT / dénomination légale : {{employer_legal_name}}</w:t>
              <w:br/>
              <w:t>RCCM : {{employer_rccm}}  •  CC : {{employer_tax_id}}</w:t>
              <w:br/>
              <w:t>CNPS employeur : {{employer_cnps_id}}</w:t>
              <w:br/>
              <w:t>Abidjan, Côte d’Ivoire</w:t>
            </w:r>
          </w:p>
        </w:tc>
        <w:tc>
          <w:tcPr>
            <w:tcW w:type="dxa" w:w="5061"/>
            <w:shd w:fill="EAF4FB"/>
          </w:tcPr>
          <w:p>
            <w:r>
              <w:t>SALARIÉ(E)</w:t>
              <w:br/>
              <w:t>{{employee_full_name}}  •  Matricule : {{employee_id}}</w:t>
              <w:br/>
              <w:t>CNPS : {{employee_cnps_id}}</w:t>
              <w:br/>
              <w:t>Poste : {{job_title}}  •  Catégorie : {{classification}}</w:t>
              <w:br/>
              <w:t>Entrée : {{hire_date}}  •  Contrat : {{contract_type}}</w:t>
            </w:r>
          </w:p>
        </w:tc>
      </w:tr>
    </w:tbl>
    <w:p>
      <w:pPr>
        <w:pStyle w:val="Heading1"/>
      </w:pPr>
      <w:r>
        <w:t>Éléments de rémunération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25"/>
        <w:gridCol w:w="2025"/>
        <w:gridCol w:w="2025"/>
        <w:gridCol w:w="2025"/>
        <w:gridCol w:w="2025"/>
      </w:tblGrid>
      <w:tr>
        <w:trPr>
          <w:tblHeader w:val="true"/>
        </w:trPr>
        <w:tc>
          <w:tcPr>
            <w:tcW w:type="dxa" w:w="2025"/>
            <w:shd w:fill="073D8C"/>
          </w:tcPr>
          <w:p>
            <w:r>
              <w:rPr>
                <w:b/>
                <w:color w:val="FFFFFF"/>
              </w:rPr>
              <w:t>Code / rubrique</w:t>
            </w:r>
          </w:p>
        </w:tc>
        <w:tc>
          <w:tcPr>
            <w:tcW w:type="dxa" w:w="2025"/>
            <w:shd w:fill="073D8C"/>
          </w:tcPr>
          <w:p>
            <w:r>
              <w:rPr>
                <w:b/>
                <w:color w:val="FFFFFF"/>
              </w:rPr>
              <w:t>Base</w:t>
            </w:r>
          </w:p>
        </w:tc>
        <w:tc>
          <w:tcPr>
            <w:tcW w:type="dxa" w:w="2025"/>
            <w:shd w:fill="073D8C"/>
          </w:tcPr>
          <w:p>
            <w:r>
              <w:rPr>
                <w:b/>
                <w:color w:val="FFFFFF"/>
              </w:rPr>
              <w:t>Taux / quantité</w:t>
            </w:r>
          </w:p>
        </w:tc>
        <w:tc>
          <w:tcPr>
            <w:tcW w:type="dxa" w:w="2025"/>
            <w:shd w:fill="073D8C"/>
          </w:tcPr>
          <w:p>
            <w:r>
              <w:rPr>
                <w:b/>
                <w:color w:val="FFFFFF"/>
              </w:rPr>
              <w:t>Gain</w:t>
            </w:r>
          </w:p>
        </w:tc>
        <w:tc>
          <w:tcPr>
            <w:tcW w:type="dxa" w:w="2025"/>
            <w:shd w:fill="073D8C"/>
          </w:tcPr>
          <w:p>
            <w:r>
              <w:rPr>
                <w:b/>
                <w:color w:val="FFFFFF"/>
              </w:rPr>
              <w:t>Retenue</w:t>
            </w:r>
          </w:p>
        </w:tc>
      </w:tr>
      <w:tr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BAS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Salaire de base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{{base_units}}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{{base_salary}}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—</w:t>
            </w:r>
          </w:p>
        </w:tc>
      </w:tr>
      <w:tr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HSP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Heures supplémentaires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{{overtime_hours}} × {{overtime_rate}}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{{overtime_amount}}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—</w:t>
            </w:r>
          </w:p>
        </w:tc>
      </w:tr>
      <w:tr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COM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Commission commerciale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{{commission_basis}} × {{commission_rate}}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{{commission_amount}}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—</w:t>
            </w:r>
          </w:p>
        </w:tc>
      </w:tr>
      <w:tr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PRI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Primes / avantages cotisables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{{taxable_benefits_basis}}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{{taxable_benefits}}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—</w:t>
            </w:r>
          </w:p>
        </w:tc>
      </w:tr>
      <w:tr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FRA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Remboursements de frais justifiés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{{expense_basis}}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{{expense_reimbursement}}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—</w:t>
            </w:r>
          </w:p>
        </w:tc>
      </w:tr>
      <w:tr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CNPS-S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Retraite – part salariale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{{cnps_pension_base}}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—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{{cnps_employee_amount}}</w:t>
            </w:r>
          </w:p>
        </w:tc>
      </w:tr>
      <w:tr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ITS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Impôt sur traitements et salaires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{{taxable_income}}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—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{{payroll_tax_amount}}</w:t>
            </w:r>
          </w:p>
        </w:tc>
      </w:tr>
      <w:tr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AUT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Autres retenues autorisées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{{other_deduction_note}}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—</w:t>
            </w:r>
          </w:p>
        </w:tc>
        <w:tc>
          <w:tcPr>
            <w:tcW w:type="dxa" w:w="2025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t>{{other_deductions}}</w:t>
            </w:r>
          </w:p>
        </w:tc>
      </w:tr>
    </w:tbl>
    <w:p>
      <w:pPr>
        <w:pStyle w:val="Heading1"/>
      </w:pPr>
      <w:r>
        <w:t>Synthèse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2880"/>
            <w:shd w:fill="EAF4FB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073D8C"/>
              </w:rPr>
              <w:t>Salaire brut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>{{gross_salary}} FCFA</w:t>
            </w:r>
          </w:p>
        </w:tc>
      </w:tr>
      <w:tr>
        <w:tc>
          <w:tcPr>
            <w:tcW w:type="dxa" w:w="2880"/>
            <w:shd w:fill="EAF4FB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073D8C"/>
              </w:rPr>
              <w:t>Total retenues salariales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>{{employee_deductions_total}} FCFA</w:t>
            </w:r>
          </w:p>
        </w:tc>
      </w:tr>
      <w:tr>
        <w:tc>
          <w:tcPr>
            <w:tcW w:type="dxa" w:w="2880"/>
            <w:shd w:fill="EAF4FB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073D8C"/>
              </w:rPr>
              <w:t>Net imposable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>{{taxable_net}} FCFA</w:t>
            </w:r>
          </w:p>
        </w:tc>
      </w:tr>
      <w:tr>
        <w:tc>
          <w:tcPr>
            <w:tcW w:type="dxa" w:w="2880"/>
            <w:shd w:fill="EAF4FB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073D8C"/>
              </w:rPr>
              <w:t>NET À PAYER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>{{net_pay}} FCFA</w:t>
            </w:r>
          </w:p>
        </w:tc>
      </w:tr>
      <w:tr>
        <w:tc>
          <w:tcPr>
            <w:tcW w:type="dxa" w:w="2880"/>
            <w:shd w:fill="EAF4FB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073D8C"/>
              </w:rPr>
              <w:t>Mode / référence de paiement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>{{payment_method}} • {{payment_reference}}</w:t>
            </w:r>
          </w:p>
        </w:tc>
      </w:tr>
    </w:tbl>
    <w:p>
      <w:pPr>
        <w:pStyle w:val="Heading1"/>
      </w:pPr>
      <w:r>
        <w:t>Charges employeur et congés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2880"/>
            <w:shd w:fill="EAF4FB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073D8C"/>
              </w:rPr>
              <w:t>CNPS employeur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>PF {{family_allowance_amount}} • Maternité {{maternity_amount}} • AT/MP {{work_accident_amount}} • Retraite {{cnps_employer_pension}}</w:t>
            </w:r>
          </w:p>
        </w:tc>
      </w:tr>
      <w:tr>
        <w:tc>
          <w:tcPr>
            <w:tcW w:type="dxa" w:w="2880"/>
            <w:shd w:fill="EAF4FB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073D8C"/>
              </w:rPr>
              <w:t>Autres charges employeur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>{{other_employer_charges}} FCFA</w:t>
            </w:r>
          </w:p>
        </w:tc>
      </w:tr>
      <w:tr>
        <w:tc>
          <w:tcPr>
            <w:tcW w:type="dxa" w:w="2880"/>
            <w:shd w:fill="EAF4FB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073D8C"/>
              </w:rPr>
              <w:t>Coût total employeur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>{{total_employer_cost}} FCFA</w:t>
            </w:r>
          </w:p>
        </w:tc>
      </w:tr>
      <w:tr>
        <w:tc>
          <w:tcPr>
            <w:tcW w:type="dxa" w:w="2880"/>
            <w:shd w:fill="EAF4FB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073D8C"/>
              </w:rPr>
              <w:t>Congés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t>Acquis {{leave_accrued}} • Pris {{leave_taken}} • Solde {{leave_balance}} jours ouvrables</w:t>
            </w:r>
          </w:p>
        </w:tc>
      </w:tr>
    </w:tbl>
    <w:p>
      <w:r>
        <w:rPr>
          <w:b/>
        </w:rPr>
        <w:t xml:space="preserve">Note de conformité : </w:t>
      </w:r>
      <w:r>
        <w:t>le bulletin est délivré au paiement (Code du travail, art. 32.5). Les taux, plafonds, bases fiscales et cotisations sont des paramètres CRM datés, à valider pour chaque période. L’acceptation du bulletin ne vaut pas renonciation aux droits du salarié (art. 32.6).</w:t>
      </w:r>
    </w:p>
    <w:p>
      <w:pPr>
        <w:jc w:val="center"/>
      </w:pPr>
      <w:r>
        <w:t>Document électronique généré le {{generated_at}} • Empreinte : {{document_hash}}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2520" w:right="893" w:bottom="1944" w:left="893" w:header="72" w:footer="7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7178040" cy="178429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g_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78040" cy="1784295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7178040" cy="20771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g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78040" cy="20771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001A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3D8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BDE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ptos Display" w:hAnsi="Aptos Display"/>
      <w:b/>
      <w:color w:val="073D8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